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860DB6" w14:textId="77777777" w:rsidR="0068393A" w:rsidRPr="0068393A" w:rsidRDefault="0068393A" w:rsidP="0068393A">
      <w:pPr>
        <w:shd w:val="clear" w:color="auto" w:fill="FFFFFF"/>
        <w:spacing w:before="100" w:beforeAutospacing="1" w:after="100" w:afterAutospacing="1"/>
        <w:outlineLvl w:val="0"/>
        <w:rPr>
          <w:rFonts w:ascii="Calibri" w:eastAsia="Times New Roman" w:hAnsi="Calibri" w:cs="Calibri"/>
          <w:b/>
          <w:bCs/>
          <w:color w:val="222222"/>
          <w:kern w:val="36"/>
          <w:sz w:val="48"/>
          <w:szCs w:val="48"/>
          <w:lang w:eastAsia="en-GB"/>
        </w:rPr>
      </w:pPr>
      <w:r w:rsidRPr="0068393A">
        <w:rPr>
          <w:rFonts w:ascii="Arial" w:eastAsia="Times New Roman" w:hAnsi="Arial" w:cs="Arial"/>
          <w:b/>
          <w:bCs/>
          <w:color w:val="0F416C"/>
          <w:kern w:val="36"/>
          <w:sz w:val="30"/>
          <w:szCs w:val="30"/>
          <w:lang w:eastAsia="en-GB"/>
        </w:rPr>
        <w:t>Birmingham Weekly COVID-19 Statistics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68393A" w:rsidRPr="0068393A" w14:paraId="394DA9F8" w14:textId="77777777" w:rsidTr="0068393A">
        <w:tc>
          <w:tcPr>
            <w:tcW w:w="0" w:type="auto"/>
            <w:shd w:val="clear" w:color="auto" w:fill="FFFFFF"/>
            <w:vAlign w:val="center"/>
            <w:hideMark/>
          </w:tcPr>
          <w:p w14:paraId="02C8A748" w14:textId="19F89A03" w:rsidR="0068393A" w:rsidRPr="0068393A" w:rsidRDefault="0068393A" w:rsidP="0068393A">
            <w:pPr>
              <w:spacing w:before="100" w:beforeAutospacing="1" w:after="240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68393A">
              <w:rPr>
                <w:rFonts w:ascii="Calibri" w:eastAsia="Times New Roman" w:hAnsi="Calibri" w:cs="Calibri"/>
                <w:noProof/>
                <w:color w:val="222222"/>
                <w:sz w:val="24"/>
                <w:szCs w:val="24"/>
                <w:lang w:eastAsia="en-GB"/>
              </w:rPr>
              <w:drawing>
                <wp:anchor distT="0" distB="0" distL="47625" distR="47625" simplePos="0" relativeHeight="251658240" behindDoc="0" locked="0" layoutInCell="1" allowOverlap="0" wp14:anchorId="5301C241" wp14:editId="27A5AD5D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3209925" cy="4171950"/>
                  <wp:effectExtent l="0" t="0" r="9525" b="0"/>
                  <wp:wrapSquare wrapText="bothSides"/>
                  <wp:docPr id="1" name="Picture 1" descr="Ward cases 9-15 Janu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ard cases 9-15 Janu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417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The wards with the highest case rates (per 100,000 residents) for 9 January to 15 January were:</w:t>
            </w:r>
          </w:p>
          <w:p w14:paraId="66C6366B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Lozells (1121)</w:t>
            </w:r>
          </w:p>
          <w:p w14:paraId="5D2288BA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Sparkbrook &amp; Balsall Heath East (1100)</w:t>
            </w:r>
          </w:p>
          <w:p w14:paraId="10E440F5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Hall Green North (994)</w:t>
            </w:r>
          </w:p>
          <w:p w14:paraId="1F9CB45F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Small Heath (985)</w:t>
            </w:r>
          </w:p>
          <w:p w14:paraId="59C07148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Castle Vale (968)</w:t>
            </w:r>
          </w:p>
          <w:p w14:paraId="46C6D004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Sparkhill</w:t>
            </w:r>
            <w:proofErr w:type="spellEnd"/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 xml:space="preserve"> (962)</w:t>
            </w:r>
          </w:p>
          <w:p w14:paraId="542702C4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Aston (944)</w:t>
            </w:r>
          </w:p>
          <w:p w14:paraId="77A206D2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Acocks</w:t>
            </w:r>
            <w:proofErr w:type="spellEnd"/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 xml:space="preserve"> Green (939)</w:t>
            </w:r>
          </w:p>
          <w:p w14:paraId="1DEC9C87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Yardley East (936)</w:t>
            </w:r>
          </w:p>
          <w:p w14:paraId="193DB2CC" w14:textId="77777777" w:rsidR="0068393A" w:rsidRPr="0068393A" w:rsidRDefault="0068393A" w:rsidP="0068393A">
            <w:pPr>
              <w:numPr>
                <w:ilvl w:val="0"/>
                <w:numId w:val="1"/>
              </w:numPr>
              <w:ind w:left="945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Hall Green South (908)</w:t>
            </w:r>
          </w:p>
          <w:p w14:paraId="6F010816" w14:textId="77777777" w:rsidR="0068393A" w:rsidRPr="0068393A" w:rsidRDefault="0068393A" w:rsidP="0068393A">
            <w:pPr>
              <w:spacing w:before="100" w:beforeAutospacing="1" w:after="240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There are signs this week that the national lockdown is </w:t>
            </w:r>
            <w:r w:rsidRPr="0068393A">
              <w:rPr>
                <w:rFonts w:ascii="Arial" w:eastAsia="Times New Roman" w:hAnsi="Arial" w:cs="Arial"/>
                <w:color w:val="222222"/>
                <w:sz w:val="21"/>
                <w:szCs w:val="21"/>
                <w:lang w:eastAsia="en-GB"/>
              </w:rPr>
              <w:t>reducing </w:t>
            </w:r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case numbers, while the rates of testing are improving. However, there is still a long way to go to drop to the level we were at in the autumn - which was below 200 cases per 100,000 people. </w:t>
            </w:r>
          </w:p>
          <w:p w14:paraId="15A014E1" w14:textId="77777777" w:rsidR="0068393A" w:rsidRPr="0068393A" w:rsidRDefault="0068393A" w:rsidP="0068393A">
            <w:pPr>
              <w:spacing w:before="100" w:beforeAutospacing="1" w:after="240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hyperlink r:id="rId6" w:tgtFrame="_blank" w:history="1">
              <w:r w:rsidRPr="0068393A">
                <w:rPr>
                  <w:rFonts w:ascii="Arial" w:eastAsia="Times New Roman" w:hAnsi="Arial" w:cs="Arial"/>
                  <w:color w:val="1D5782"/>
                  <w:sz w:val="21"/>
                  <w:szCs w:val="21"/>
                  <w:u w:val="single"/>
                  <w:lang w:eastAsia="en-GB"/>
                </w:rPr>
                <w:t>Click here</w:t>
              </w:r>
            </w:hyperlink>
            <w:r w:rsidRPr="0068393A">
              <w:rPr>
                <w:rFonts w:ascii="Arial" w:eastAsia="Times New Roman" w:hAnsi="Arial" w:cs="Arial"/>
                <w:color w:val="000000"/>
                <w:sz w:val="21"/>
                <w:szCs w:val="21"/>
                <w:lang w:eastAsia="en-GB"/>
              </w:rPr>
              <w:t> to see the full COVID-19 statistics dashboard.</w:t>
            </w:r>
          </w:p>
        </w:tc>
      </w:tr>
    </w:tbl>
    <w:p w14:paraId="737E6BB4" w14:textId="77777777" w:rsidR="0068393A" w:rsidRPr="0068393A" w:rsidRDefault="0068393A" w:rsidP="0068393A">
      <w:pPr>
        <w:shd w:val="clear" w:color="auto" w:fill="FFFFFF"/>
        <w:rPr>
          <w:rFonts w:ascii="Helvetica" w:eastAsia="Times New Roman" w:hAnsi="Helvetica" w:cs="Helvetica"/>
          <w:color w:val="222222"/>
          <w:sz w:val="24"/>
          <w:szCs w:val="24"/>
          <w:lang w:eastAsia="en-GB"/>
        </w:rPr>
      </w:pPr>
    </w:p>
    <w:p w14:paraId="097FF924" w14:textId="02B4EBFE" w:rsidR="005C3074" w:rsidRDefault="0068393A">
      <w:r w:rsidRPr="0068393A">
        <w:rPr>
          <w:noProof/>
        </w:rPr>
        <w:drawing>
          <wp:inline distT="0" distB="0" distL="0" distR="0" wp14:anchorId="4E45587A" wp14:editId="51FB5205">
            <wp:extent cx="5731510" cy="2315210"/>
            <wp:effectExtent l="0" t="0" r="254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990883"/>
    <w:multiLevelType w:val="multilevel"/>
    <w:tmpl w:val="8962E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93A"/>
    <w:rsid w:val="005C3074"/>
    <w:rsid w:val="0068393A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498B9"/>
  <w15:chartTrackingRefBased/>
  <w15:docId w15:val="{1991886E-B3D8-4995-982C-6010CA27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8393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93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839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6839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54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rmingham.gov.uk/info/50231/coronavirus_covid-19/2256/covid-19_community_champions/6?utm_content=&amp;utm_medium=email&amp;utm_name=&amp;utm_source=govdelivery&amp;utm_term=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2021-01-19T17:17:00Z</dcterms:created>
  <dcterms:modified xsi:type="dcterms:W3CDTF">2021-01-19T17:20:00Z</dcterms:modified>
</cp:coreProperties>
</file>